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52482" w14:textId="77777777" w:rsidR="00B624C7" w:rsidRPr="00B624C7" w:rsidRDefault="00B624C7" w:rsidP="00B624C7">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B624C7">
        <w:rPr>
          <w:rFonts w:ascii="Arial" w:eastAsia="Times New Roman" w:hAnsi="Arial" w:cs="Arial"/>
          <w:b/>
          <w:bCs/>
          <w:color w:val="0B0C0C"/>
          <w:kern w:val="36"/>
          <w:sz w:val="48"/>
          <w:szCs w:val="48"/>
          <w:lang w:val="en-US" w:eastAsia="es-ES"/>
          <w14:ligatures w14:val="none"/>
        </w:rPr>
        <w:t>G7 Finance Minister and Central Bank Governors Statement on Russia´s war of aggression against Ukraine</w:t>
      </w:r>
    </w:p>
    <w:p w14:paraId="17D654D6" w14:textId="77777777" w:rsidR="00B624C7" w:rsidRPr="00B624C7" w:rsidRDefault="00B624C7" w:rsidP="00B624C7">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B624C7">
        <w:rPr>
          <w:rFonts w:ascii="Arial" w:eastAsia="Times New Roman" w:hAnsi="Arial" w:cs="Arial"/>
          <w:color w:val="0B0C0C"/>
          <w:kern w:val="0"/>
          <w:sz w:val="27"/>
          <w:szCs w:val="27"/>
          <w:lang w:val="en-US" w:eastAsia="es-ES"/>
          <w14:ligatures w14:val="none"/>
        </w:rPr>
        <w:t>This statement follows the G7 Finance Minister and Central Bank Governors’ meeting on 20 April 2022.</w:t>
      </w:r>
    </w:p>
    <w:p w14:paraId="07137135" w14:textId="77777777" w:rsidR="00B624C7" w:rsidRPr="00B624C7" w:rsidRDefault="00B624C7" w:rsidP="00B624C7">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B624C7">
        <w:rPr>
          <w:rFonts w:ascii="Arial" w:eastAsia="Times New Roman" w:hAnsi="Arial" w:cs="Arial"/>
          <w:color w:val="0B0C0C"/>
          <w:kern w:val="0"/>
          <w:sz w:val="27"/>
          <w:szCs w:val="27"/>
          <w:lang w:val="en-US" w:eastAsia="es-ES"/>
          <w14:ligatures w14:val="none"/>
        </w:rPr>
        <w:t>We, the G7 Finance Ministers and Central Bank Governors, met in Washington D.C. on 20 April 2022 to discuss Russia´s war of aggression against Ukraine, the tragic loss of life resulting from the war, as well as its global economic impact.</w:t>
      </w:r>
    </w:p>
    <w:p w14:paraId="0FEAA991" w14:textId="77777777" w:rsidR="00B624C7" w:rsidRPr="00B624C7" w:rsidRDefault="00B624C7" w:rsidP="00B624C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624C7">
        <w:rPr>
          <w:rFonts w:ascii="Arial" w:eastAsia="Times New Roman" w:hAnsi="Arial" w:cs="Arial"/>
          <w:color w:val="0B0C0C"/>
          <w:kern w:val="0"/>
          <w:sz w:val="27"/>
          <w:szCs w:val="27"/>
          <w:lang w:val="en-US" w:eastAsia="es-ES"/>
          <w14:ligatures w14:val="none"/>
        </w:rPr>
        <w:t xml:space="preserve">We are united in our resolve to restore peace and stability and uphold international law as well as in our unwavering commitment to international cooperation and multilateralism. We strongly condemn Russia’s unprovoked and unjustifiable war of aggression against Ukraine, which is a blatant violation of the fundamental principles of sovereignty, territorial integrity and international peace and security. This condemnation is shared by 141 countries at the United Nations and was </w:t>
      </w:r>
      <w:proofErr w:type="spellStart"/>
      <w:r w:rsidRPr="00B624C7">
        <w:rPr>
          <w:rFonts w:ascii="Arial" w:eastAsia="Times New Roman" w:hAnsi="Arial" w:cs="Arial"/>
          <w:color w:val="0B0C0C"/>
          <w:kern w:val="0"/>
          <w:sz w:val="27"/>
          <w:szCs w:val="27"/>
          <w:lang w:val="en-US" w:eastAsia="es-ES"/>
          <w14:ligatures w14:val="none"/>
        </w:rPr>
        <w:t>emphasised</w:t>
      </w:r>
      <w:proofErr w:type="spellEnd"/>
      <w:r w:rsidRPr="00B624C7">
        <w:rPr>
          <w:rFonts w:ascii="Arial" w:eastAsia="Times New Roman" w:hAnsi="Arial" w:cs="Arial"/>
          <w:color w:val="0B0C0C"/>
          <w:kern w:val="0"/>
          <w:sz w:val="27"/>
          <w:szCs w:val="27"/>
          <w:lang w:val="en-US" w:eastAsia="es-ES"/>
          <w14:ligatures w14:val="none"/>
        </w:rPr>
        <w:t xml:space="preserve"> by most G20 members this morning. Russia must immediately comply with the legally binding order of the International Court of Justice to suspend the military aggression that it commenced against Ukraine on 24 February 2022. Further, we urge Russia to withdraw completely its military forces and equipment from the entire territory of Ukraine within its internationally </w:t>
      </w:r>
      <w:proofErr w:type="spellStart"/>
      <w:r w:rsidRPr="00B624C7">
        <w:rPr>
          <w:rFonts w:ascii="Arial" w:eastAsia="Times New Roman" w:hAnsi="Arial" w:cs="Arial"/>
          <w:color w:val="0B0C0C"/>
          <w:kern w:val="0"/>
          <w:sz w:val="27"/>
          <w:szCs w:val="27"/>
          <w:lang w:val="en-US" w:eastAsia="es-ES"/>
          <w14:ligatures w14:val="none"/>
        </w:rPr>
        <w:t>recognised</w:t>
      </w:r>
      <w:proofErr w:type="spellEnd"/>
      <w:r w:rsidRPr="00B624C7">
        <w:rPr>
          <w:rFonts w:ascii="Arial" w:eastAsia="Times New Roman" w:hAnsi="Arial" w:cs="Arial"/>
          <w:color w:val="0B0C0C"/>
          <w:kern w:val="0"/>
          <w:sz w:val="27"/>
          <w:szCs w:val="27"/>
          <w:lang w:val="en-US" w:eastAsia="es-ES"/>
          <w14:ligatures w14:val="none"/>
        </w:rPr>
        <w:t xml:space="preserve"> borders. We join our Leaders and Foreign Ministers in their statements of 7 April 2022 in condemning in the strongest terms the appalling atrocities perpetrated by Russian armed forces.</w:t>
      </w:r>
    </w:p>
    <w:p w14:paraId="3877D2B4" w14:textId="77777777" w:rsidR="00B624C7" w:rsidRPr="00B624C7" w:rsidRDefault="00B624C7" w:rsidP="00B624C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624C7">
        <w:rPr>
          <w:rFonts w:ascii="Arial" w:eastAsia="Times New Roman" w:hAnsi="Arial" w:cs="Arial"/>
          <w:color w:val="0B0C0C"/>
          <w:kern w:val="0"/>
          <w:sz w:val="27"/>
          <w:szCs w:val="27"/>
          <w:lang w:val="en-US" w:eastAsia="es-ES"/>
          <w14:ligatures w14:val="none"/>
        </w:rPr>
        <w:t xml:space="preserve">International </w:t>
      </w:r>
      <w:proofErr w:type="spellStart"/>
      <w:r w:rsidRPr="00B624C7">
        <w:rPr>
          <w:rFonts w:ascii="Arial" w:eastAsia="Times New Roman" w:hAnsi="Arial" w:cs="Arial"/>
          <w:color w:val="0B0C0C"/>
          <w:kern w:val="0"/>
          <w:sz w:val="27"/>
          <w:szCs w:val="27"/>
          <w:lang w:val="en-US" w:eastAsia="es-ES"/>
          <w14:ligatures w14:val="none"/>
        </w:rPr>
        <w:t>organisations</w:t>
      </w:r>
      <w:proofErr w:type="spellEnd"/>
      <w:r w:rsidRPr="00B624C7">
        <w:rPr>
          <w:rFonts w:ascii="Arial" w:eastAsia="Times New Roman" w:hAnsi="Arial" w:cs="Arial"/>
          <w:color w:val="0B0C0C"/>
          <w:kern w:val="0"/>
          <w:sz w:val="27"/>
          <w:szCs w:val="27"/>
          <w:lang w:val="en-US" w:eastAsia="es-ES"/>
          <w14:ligatures w14:val="none"/>
        </w:rPr>
        <w:t xml:space="preserve"> and multilateral fora should no longer conduct their activities with Russia in a business-as-usual manner. We will work closely with our partners to act as appropriate, based on shared interests, as well as rules and regulations of respective institutions. As such, we regret participation by Russia in international fora, including G20, International Monetary Fund and World Bank meetings this week.</w:t>
      </w:r>
    </w:p>
    <w:p w14:paraId="67DB119D" w14:textId="77777777" w:rsidR="00B624C7" w:rsidRPr="00B624C7" w:rsidRDefault="00B624C7" w:rsidP="00B624C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624C7">
        <w:rPr>
          <w:rFonts w:ascii="Arial" w:eastAsia="Times New Roman" w:hAnsi="Arial" w:cs="Arial"/>
          <w:color w:val="0B0C0C"/>
          <w:kern w:val="0"/>
          <w:sz w:val="27"/>
          <w:szCs w:val="27"/>
          <w:lang w:val="en-US" w:eastAsia="es-ES"/>
          <w14:ligatures w14:val="none"/>
        </w:rPr>
        <w:t xml:space="preserve">In the presence of Ukrainian Finance Minister </w:t>
      </w:r>
      <w:proofErr w:type="spellStart"/>
      <w:r w:rsidRPr="00B624C7">
        <w:rPr>
          <w:rFonts w:ascii="Arial" w:eastAsia="Times New Roman" w:hAnsi="Arial" w:cs="Arial"/>
          <w:color w:val="0B0C0C"/>
          <w:kern w:val="0"/>
          <w:sz w:val="27"/>
          <w:szCs w:val="27"/>
          <w:lang w:val="en-US" w:eastAsia="es-ES"/>
          <w14:ligatures w14:val="none"/>
        </w:rPr>
        <w:t>Sergii</w:t>
      </w:r>
      <w:proofErr w:type="spellEnd"/>
      <w:r w:rsidRPr="00B624C7">
        <w:rPr>
          <w:rFonts w:ascii="Arial" w:eastAsia="Times New Roman" w:hAnsi="Arial" w:cs="Arial"/>
          <w:color w:val="0B0C0C"/>
          <w:kern w:val="0"/>
          <w:sz w:val="27"/>
          <w:szCs w:val="27"/>
          <w:lang w:val="en-US" w:eastAsia="es-ES"/>
          <w14:ligatures w14:val="none"/>
        </w:rPr>
        <w:t xml:space="preserve"> Marchenko, we expressed our unwavering support for and heartfelt solidarity with the Ukrainian people and government. We continue to stand with Ukraine.</w:t>
      </w:r>
    </w:p>
    <w:p w14:paraId="5A3FA626" w14:textId="77777777" w:rsidR="00B624C7" w:rsidRPr="00B624C7" w:rsidRDefault="00B624C7" w:rsidP="00B624C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624C7">
        <w:rPr>
          <w:rFonts w:ascii="Arial" w:eastAsia="Times New Roman" w:hAnsi="Arial" w:cs="Arial"/>
          <w:color w:val="0B0C0C"/>
          <w:kern w:val="0"/>
          <w:sz w:val="27"/>
          <w:szCs w:val="27"/>
          <w:lang w:val="en-US" w:eastAsia="es-ES"/>
          <w14:ligatures w14:val="none"/>
        </w:rPr>
        <w:lastRenderedPageBreak/>
        <w:t xml:space="preserve">Building on the G7 Finance Ministers´ statement of 14 February 2022, together with the international community we have provided and pledged considerable additional support exceeding 24 billion US dollars for 2022 and beyond, both in financial and material terms. This comes on top of the economic support provided since 2014 until 2021, which exceeds 60 billion US dollars. Against the background of the ongoing brutal Russian aggression, the accompanying suffering of the Ukrainian population, and the continued destruction of the country itself, we are prepared to do more as needed. It is also essential that we continue to closely coordinate our support to Ukraine and its </w:t>
      </w:r>
      <w:proofErr w:type="spellStart"/>
      <w:r w:rsidRPr="00B624C7">
        <w:rPr>
          <w:rFonts w:ascii="Arial" w:eastAsia="Times New Roman" w:hAnsi="Arial" w:cs="Arial"/>
          <w:color w:val="0B0C0C"/>
          <w:kern w:val="0"/>
          <w:sz w:val="27"/>
          <w:szCs w:val="27"/>
          <w:lang w:val="en-US" w:eastAsia="es-ES"/>
          <w14:ligatures w14:val="none"/>
        </w:rPr>
        <w:t>neighbouring</w:t>
      </w:r>
      <w:proofErr w:type="spellEnd"/>
      <w:r w:rsidRPr="00B624C7">
        <w:rPr>
          <w:rFonts w:ascii="Arial" w:eastAsia="Times New Roman" w:hAnsi="Arial" w:cs="Arial"/>
          <w:color w:val="0B0C0C"/>
          <w:kern w:val="0"/>
          <w:sz w:val="27"/>
          <w:szCs w:val="27"/>
          <w:lang w:val="en-US" w:eastAsia="es-ES"/>
          <w14:ligatures w14:val="none"/>
        </w:rPr>
        <w:t xml:space="preserve"> countries. We commend the international financial institutions, including the International Monetary Fund and the World Bank, for the provision of critical, urgent financial assistance to Ukraine. We call on all countries and international </w:t>
      </w:r>
      <w:proofErr w:type="spellStart"/>
      <w:r w:rsidRPr="00B624C7">
        <w:rPr>
          <w:rFonts w:ascii="Arial" w:eastAsia="Times New Roman" w:hAnsi="Arial" w:cs="Arial"/>
          <w:color w:val="0B0C0C"/>
          <w:kern w:val="0"/>
          <w:sz w:val="27"/>
          <w:szCs w:val="27"/>
          <w:lang w:val="en-US" w:eastAsia="es-ES"/>
          <w14:ligatures w14:val="none"/>
        </w:rPr>
        <w:t>organisations</w:t>
      </w:r>
      <w:proofErr w:type="spellEnd"/>
      <w:r w:rsidRPr="00B624C7">
        <w:rPr>
          <w:rFonts w:ascii="Arial" w:eastAsia="Times New Roman" w:hAnsi="Arial" w:cs="Arial"/>
          <w:color w:val="0B0C0C"/>
          <w:kern w:val="0"/>
          <w:sz w:val="27"/>
          <w:szCs w:val="27"/>
          <w:lang w:val="en-US" w:eastAsia="es-ES"/>
          <w14:ligatures w14:val="none"/>
        </w:rPr>
        <w:t xml:space="preserve"> to join our efforts to ensure adequate support for Ukraine in meeting its immediate needs and rebuilding its future. In this regard, we welcome the establishment of the International Monetary Fund’s Multi-Donor Administered Account for Ukraine and the European Union announcement to develop a Ukraine Solidarity Trust Fund. We support the World Bank Group´s support package to Ukraine and the European Bank for Reconstruction and Development´s Resilience Package.</w:t>
      </w:r>
    </w:p>
    <w:p w14:paraId="56D5F225" w14:textId="77777777" w:rsidR="00B624C7" w:rsidRPr="00B624C7" w:rsidRDefault="00B624C7" w:rsidP="00B624C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624C7">
        <w:rPr>
          <w:rFonts w:ascii="Arial" w:eastAsia="Times New Roman" w:hAnsi="Arial" w:cs="Arial"/>
          <w:color w:val="0B0C0C"/>
          <w:kern w:val="0"/>
          <w:sz w:val="27"/>
          <w:szCs w:val="27"/>
          <w:lang w:val="en-US" w:eastAsia="es-ES"/>
          <w14:ligatures w14:val="none"/>
        </w:rPr>
        <w:t>We have acted in close coordination and alongside other partners to increase Russia´s costs of its war by isolating Russia from the global economy. As evidenced by the G7 Leaders Statement of 7 April 2022, we continue to take coordinated action, including with our partners across the world, responding to the ongoing escalation to further raise the cost of this war for Russia. We will sustain and increase our coordinated pressure for as long as necessary and continue to urge other countries to support our efforts.</w:t>
      </w:r>
    </w:p>
    <w:p w14:paraId="68B75652" w14:textId="77777777" w:rsidR="00B624C7" w:rsidRPr="00B624C7" w:rsidRDefault="00B624C7" w:rsidP="00B624C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624C7">
        <w:rPr>
          <w:rFonts w:ascii="Arial" w:eastAsia="Times New Roman" w:hAnsi="Arial" w:cs="Arial"/>
          <w:color w:val="0B0C0C"/>
          <w:kern w:val="0"/>
          <w:sz w:val="27"/>
          <w:szCs w:val="27"/>
          <w:lang w:val="en-US" w:eastAsia="es-ES"/>
          <w14:ligatures w14:val="none"/>
        </w:rPr>
        <w:t>We imposed significant sanctions on Russia in direct response to its invasion of Ukraine and will fully implement and enforce the economic and financial measures taken as a result. Our sanctions are already having the intended massive impact on the Russian economy, which is likely to contract significantly this year. The Russian stock market has lost over a quarter of its value and had to remain shut for almost a month; hundreds of international companies are withdrawing from Russia and investment is drying up; inflation in Russia has increased; and Russian imports are declining with a knock-on impact on Russia´s long-term growth prospects. The significant long-term hit to the Russian economy will become even clearer over time. We will continue to closely monitor the effects of sanctions. We will also continue to work closely together and with our partners to enforce our sanctions and prevent any attempts to evade, circumvent or backfill sanctions.</w:t>
      </w:r>
    </w:p>
    <w:p w14:paraId="5C7782AC" w14:textId="77777777" w:rsidR="00B624C7" w:rsidRPr="00B624C7" w:rsidRDefault="00B624C7" w:rsidP="00B624C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624C7">
        <w:rPr>
          <w:rFonts w:ascii="Arial" w:eastAsia="Times New Roman" w:hAnsi="Arial" w:cs="Arial"/>
          <w:color w:val="0B0C0C"/>
          <w:kern w:val="0"/>
          <w:sz w:val="27"/>
          <w:szCs w:val="27"/>
          <w:lang w:val="en-US" w:eastAsia="es-ES"/>
          <w14:ligatures w14:val="none"/>
        </w:rPr>
        <w:lastRenderedPageBreak/>
        <w:t xml:space="preserve">President Putin, his government and supporters, and the enabling Belarusian regime, bear full responsibility for the social and economic consequences of the war. We designed our sanctions in a targeted way to </w:t>
      </w:r>
      <w:proofErr w:type="spellStart"/>
      <w:r w:rsidRPr="00B624C7">
        <w:rPr>
          <w:rFonts w:ascii="Arial" w:eastAsia="Times New Roman" w:hAnsi="Arial" w:cs="Arial"/>
          <w:color w:val="0B0C0C"/>
          <w:kern w:val="0"/>
          <w:sz w:val="27"/>
          <w:szCs w:val="27"/>
          <w:lang w:val="en-US" w:eastAsia="es-ES"/>
          <w14:ligatures w14:val="none"/>
        </w:rPr>
        <w:t>minimise</w:t>
      </w:r>
      <w:proofErr w:type="spellEnd"/>
      <w:r w:rsidRPr="00B624C7">
        <w:rPr>
          <w:rFonts w:ascii="Arial" w:eastAsia="Times New Roman" w:hAnsi="Arial" w:cs="Arial"/>
          <w:color w:val="0B0C0C"/>
          <w:kern w:val="0"/>
          <w:sz w:val="27"/>
          <w:szCs w:val="27"/>
          <w:lang w:val="en-US" w:eastAsia="es-ES"/>
          <w14:ligatures w14:val="none"/>
        </w:rPr>
        <w:t xml:space="preserve"> harm for third countries and the global economy and we have excluded key agricultural products and humanitarian necessities from sanctions, ensuring the availability of food stuffs, medicines and medical devices as well as enabling telecommunication services to support the flow of information.</w:t>
      </w:r>
    </w:p>
    <w:p w14:paraId="6FDCD620" w14:textId="77777777" w:rsidR="00B624C7" w:rsidRPr="00B624C7" w:rsidRDefault="00B624C7" w:rsidP="00B624C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624C7">
        <w:rPr>
          <w:rFonts w:ascii="Arial" w:eastAsia="Times New Roman" w:hAnsi="Arial" w:cs="Arial"/>
          <w:color w:val="0B0C0C"/>
          <w:kern w:val="0"/>
          <w:sz w:val="27"/>
          <w:szCs w:val="27"/>
          <w:lang w:val="en-US" w:eastAsia="es-ES"/>
          <w14:ligatures w14:val="none"/>
        </w:rPr>
        <w:t>The multilateral Russian Elites, Proxies, and Oligarchs (REPO) Task Force has taken up its work to coordinate and support our action to find, restrain, freeze without delay and, where appropriate and possible, seize, confiscate or forfeit the assets and economic resources of those individuals and entities who have been sanctioned in connection with Russia’s unjustified and unprovoked invasion of Ukraine.</w:t>
      </w:r>
    </w:p>
    <w:p w14:paraId="060F7B12" w14:textId="77777777" w:rsidR="00B624C7" w:rsidRPr="00B624C7" w:rsidRDefault="00B624C7" w:rsidP="00B624C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624C7">
        <w:rPr>
          <w:rFonts w:ascii="Arial" w:eastAsia="Times New Roman" w:hAnsi="Arial" w:cs="Arial"/>
          <w:color w:val="0B0C0C"/>
          <w:kern w:val="0"/>
          <w:sz w:val="27"/>
          <w:szCs w:val="27"/>
          <w:lang w:val="en-US" w:eastAsia="es-ES"/>
          <w14:ligatures w14:val="none"/>
        </w:rPr>
        <w:t>All G7 economies have undertaken concrete steps to reduce imports of Russian energy supplies. We will continue to coordinate closely to enhance our energy security and to secure a stable and sustainable energy supply. This crisis reinforces our determination to meet the goals of the Paris Agreement and of the Glasgow Climate Pact, including by accelerating the reduction of our overall reliance on fossil fuels and our transition to clean energy.</w:t>
      </w:r>
    </w:p>
    <w:p w14:paraId="1AF11551" w14:textId="77777777" w:rsidR="00B624C7" w:rsidRPr="00B624C7" w:rsidRDefault="00B624C7" w:rsidP="00B624C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624C7">
        <w:rPr>
          <w:rFonts w:ascii="Arial" w:eastAsia="Times New Roman" w:hAnsi="Arial" w:cs="Arial"/>
          <w:color w:val="0B0C0C"/>
          <w:kern w:val="0"/>
          <w:sz w:val="27"/>
          <w:szCs w:val="27"/>
          <w:lang w:val="en-US" w:eastAsia="es-ES"/>
          <w14:ligatures w14:val="none"/>
        </w:rPr>
        <w:t>We are strongly committed to not conducting government-to-government financial transactions with Russia, including voluntary trading in Special Drawing Rights, and call upon other countries to join us in further limiting Russia’s ability to finance its unprovoked and unjustifiable war of choice against Ukraine. Russia must not obtain financing from the international financial institutions, including the International Monetary Fund and the World Bank. We welcome the decision by the European Bank for Reconstruction and Development to suspend the access by Russia and Belarus to its resources.</w:t>
      </w:r>
    </w:p>
    <w:p w14:paraId="2DCB8B9C" w14:textId="77777777" w:rsidR="00B624C7" w:rsidRPr="00B624C7" w:rsidRDefault="00B624C7" w:rsidP="00B624C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624C7">
        <w:rPr>
          <w:rFonts w:ascii="Arial" w:eastAsia="Times New Roman" w:hAnsi="Arial" w:cs="Arial"/>
          <w:color w:val="0B0C0C"/>
          <w:kern w:val="0"/>
          <w:sz w:val="27"/>
          <w:szCs w:val="27"/>
          <w:lang w:val="en-US" w:eastAsia="es-ES"/>
          <w14:ligatures w14:val="none"/>
        </w:rPr>
        <w:t xml:space="preserve">We, together with like-minded partners, remain committed to addressing the economic challenges caused by Russia´s war of aggression against Ukraine. Russia’s ruthless actions are causing substantial increases in commodity and food prices and are disrupting the global economy more broadly at a time when we were already facing the challenges of an uneven recovery, elevated levels of inflation and reduced policy space. The war is directly undermining Ukraine´s economy and ability to export, in particular agricultural products, is disrupting key supply chains and transport links and is impeding Russia´s own exports. The longer Russia and those enabling </w:t>
      </w:r>
      <w:r w:rsidRPr="00B624C7">
        <w:rPr>
          <w:rFonts w:ascii="Arial" w:eastAsia="Times New Roman" w:hAnsi="Arial" w:cs="Arial"/>
          <w:color w:val="0B0C0C"/>
          <w:kern w:val="0"/>
          <w:sz w:val="27"/>
          <w:szCs w:val="27"/>
          <w:lang w:val="en-US" w:eastAsia="es-ES"/>
          <w14:ligatures w14:val="none"/>
        </w:rPr>
        <w:lastRenderedPageBreak/>
        <w:t>Russia allow the aggression to continue, the higher the global economic cost will be.</w:t>
      </w:r>
    </w:p>
    <w:p w14:paraId="74B7A893" w14:textId="77777777" w:rsidR="00B624C7" w:rsidRPr="00B624C7" w:rsidRDefault="00B624C7" w:rsidP="00B624C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624C7">
        <w:rPr>
          <w:rFonts w:ascii="Arial" w:eastAsia="Times New Roman" w:hAnsi="Arial" w:cs="Arial"/>
          <w:color w:val="0B0C0C"/>
          <w:kern w:val="0"/>
          <w:sz w:val="27"/>
          <w:szCs w:val="27"/>
          <w:lang w:val="en-US" w:eastAsia="es-ES"/>
          <w14:ligatures w14:val="none"/>
        </w:rPr>
        <w:t xml:space="preserve">The economic costs of Russia´s military aggression will be felt disproportionately by vulnerable groups across all economies and particularly by the most vulnerable countries, given already elevated debt levels following the pandemic. </w:t>
      </w:r>
      <w:r w:rsidRPr="00163ACA">
        <w:rPr>
          <w:rFonts w:ascii="Arial" w:eastAsia="Times New Roman" w:hAnsi="Arial" w:cs="Arial"/>
          <w:color w:val="FF0000"/>
          <w:kern w:val="0"/>
          <w:sz w:val="27"/>
          <w:szCs w:val="27"/>
          <w:lang w:val="en-US" w:eastAsia="es-ES"/>
          <w14:ligatures w14:val="none"/>
        </w:rPr>
        <w:t>Higher food prices as a result of the war are leading to rising food insecurity</w:t>
      </w:r>
      <w:r w:rsidRPr="00B624C7">
        <w:rPr>
          <w:rFonts w:ascii="Arial" w:eastAsia="Times New Roman" w:hAnsi="Arial" w:cs="Arial"/>
          <w:color w:val="0B0C0C"/>
          <w:kern w:val="0"/>
          <w:sz w:val="27"/>
          <w:szCs w:val="27"/>
          <w:lang w:val="en-US" w:eastAsia="es-ES"/>
          <w14:ligatures w14:val="none"/>
        </w:rPr>
        <w:t>. A further tightening of global financial conditions could exacerbate financial vulnerabilities, particularly in emerging and developing economies.</w:t>
      </w:r>
    </w:p>
    <w:p w14:paraId="44CB057D" w14:textId="77777777" w:rsidR="00B624C7" w:rsidRPr="00B624C7" w:rsidRDefault="00B624C7" w:rsidP="00B624C7">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B624C7">
        <w:rPr>
          <w:rFonts w:ascii="Arial" w:eastAsia="Times New Roman" w:hAnsi="Arial" w:cs="Arial"/>
          <w:color w:val="0B0C0C"/>
          <w:kern w:val="0"/>
          <w:sz w:val="27"/>
          <w:szCs w:val="27"/>
          <w:lang w:val="en-US" w:eastAsia="es-ES"/>
          <w14:ligatures w14:val="none"/>
        </w:rPr>
        <w:t xml:space="preserve">We stand in solidarity with all those across the world who are having to bear the rising price of President Putin’s war of choice against Ukraine. The global community has worked very hard to develop and maintain the global financial safety net. We support the use of all available instruments to the benefit of vulnerable countries that suffer from a crisis not of their own making. As requested by our Leaders, we will work with our partners to address the consequences of the current </w:t>
      </w:r>
      <w:r w:rsidRPr="00163ACA">
        <w:rPr>
          <w:rFonts w:ascii="Arial" w:eastAsia="Times New Roman" w:hAnsi="Arial" w:cs="Arial"/>
          <w:color w:val="FF0000"/>
          <w:kern w:val="0"/>
          <w:sz w:val="27"/>
          <w:szCs w:val="27"/>
          <w:lang w:val="en-US" w:eastAsia="es-ES"/>
          <w14:ligatures w14:val="none"/>
        </w:rPr>
        <w:t xml:space="preserve">crisis on food security </w:t>
      </w:r>
      <w:r w:rsidRPr="00B624C7">
        <w:rPr>
          <w:rFonts w:ascii="Arial" w:eastAsia="Times New Roman" w:hAnsi="Arial" w:cs="Arial"/>
          <w:color w:val="0B0C0C"/>
          <w:kern w:val="0"/>
          <w:sz w:val="27"/>
          <w:szCs w:val="27"/>
          <w:lang w:val="en-US" w:eastAsia="es-ES"/>
          <w14:ligatures w14:val="none"/>
        </w:rPr>
        <w:t xml:space="preserve">through a joint G7 effort. We </w:t>
      </w:r>
      <w:r w:rsidRPr="00163ACA">
        <w:rPr>
          <w:rFonts w:ascii="Arial" w:eastAsia="Times New Roman" w:hAnsi="Arial" w:cs="Arial"/>
          <w:color w:val="FF0000"/>
          <w:kern w:val="0"/>
          <w:sz w:val="27"/>
          <w:szCs w:val="27"/>
          <w:lang w:val="en-US" w:eastAsia="es-ES"/>
          <w14:ligatures w14:val="none"/>
        </w:rPr>
        <w:t xml:space="preserve">call on the international financial institutions to urgently bolster support for food security </w:t>
      </w:r>
      <w:r w:rsidRPr="00B624C7">
        <w:rPr>
          <w:rFonts w:ascii="Arial" w:eastAsia="Times New Roman" w:hAnsi="Arial" w:cs="Arial"/>
          <w:color w:val="0B0C0C"/>
          <w:kern w:val="0"/>
          <w:sz w:val="27"/>
          <w:szCs w:val="27"/>
          <w:lang w:val="en-US" w:eastAsia="es-ES"/>
          <w14:ligatures w14:val="none"/>
        </w:rPr>
        <w:t xml:space="preserve">and agricultural production and provide support to the most vulnerable countries. We are committed to </w:t>
      </w:r>
      <w:r w:rsidRPr="00163ACA">
        <w:rPr>
          <w:rFonts w:ascii="Arial" w:eastAsia="Times New Roman" w:hAnsi="Arial" w:cs="Arial"/>
          <w:color w:val="FF0000"/>
          <w:kern w:val="0"/>
          <w:sz w:val="27"/>
          <w:szCs w:val="27"/>
          <w:lang w:val="en-US" w:eastAsia="es-ES"/>
          <w14:ligatures w14:val="none"/>
        </w:rPr>
        <w:t xml:space="preserve">addressing food insecurity, keeping markets open, </w:t>
      </w:r>
      <w:r w:rsidRPr="00B624C7">
        <w:rPr>
          <w:rFonts w:ascii="Arial" w:eastAsia="Times New Roman" w:hAnsi="Arial" w:cs="Arial"/>
          <w:color w:val="0B0C0C"/>
          <w:kern w:val="0"/>
          <w:sz w:val="27"/>
          <w:szCs w:val="27"/>
          <w:lang w:val="en-US" w:eastAsia="es-ES"/>
          <w14:ligatures w14:val="none"/>
        </w:rPr>
        <w:t>and e</w:t>
      </w:r>
      <w:r w:rsidRPr="00163ACA">
        <w:rPr>
          <w:rFonts w:ascii="Arial" w:eastAsia="Times New Roman" w:hAnsi="Arial" w:cs="Arial"/>
          <w:color w:val="FF0000"/>
          <w:kern w:val="0"/>
          <w:sz w:val="27"/>
          <w:szCs w:val="27"/>
          <w:lang w:val="en-US" w:eastAsia="es-ES"/>
          <w14:ligatures w14:val="none"/>
        </w:rPr>
        <w:t xml:space="preserve">nhancing the resilience of the global economy, </w:t>
      </w:r>
      <w:r w:rsidRPr="00B624C7">
        <w:rPr>
          <w:rFonts w:ascii="Arial" w:eastAsia="Times New Roman" w:hAnsi="Arial" w:cs="Arial"/>
          <w:color w:val="0B0C0C"/>
          <w:kern w:val="0"/>
          <w:sz w:val="27"/>
          <w:szCs w:val="27"/>
          <w:lang w:val="en-US" w:eastAsia="es-ES"/>
          <w14:ligatures w14:val="none"/>
        </w:rPr>
        <w:t xml:space="preserve">notably including agricultural and energy markets in line with climate and environmental goals. We are closely monitoring developments in global financial markets, including those for commodities, which have been volatile as a consequence of uncertainty created by Russia´s war against Ukraine. We will continue to stay vigilant to global economic risks and stand ready to act jointly where appropriate to </w:t>
      </w:r>
      <w:r w:rsidRPr="00163ACA">
        <w:rPr>
          <w:rFonts w:ascii="Arial" w:eastAsia="Times New Roman" w:hAnsi="Arial" w:cs="Arial"/>
          <w:color w:val="FF0000"/>
          <w:kern w:val="0"/>
          <w:sz w:val="27"/>
          <w:szCs w:val="27"/>
          <w:lang w:val="en-US" w:eastAsia="es-ES"/>
          <w14:ligatures w14:val="none"/>
        </w:rPr>
        <w:t xml:space="preserve">support resilience, ensure financial stability </w:t>
      </w:r>
      <w:r w:rsidRPr="00B624C7">
        <w:rPr>
          <w:rFonts w:ascii="Arial" w:eastAsia="Times New Roman" w:hAnsi="Arial" w:cs="Arial"/>
          <w:color w:val="0B0C0C"/>
          <w:kern w:val="0"/>
          <w:sz w:val="27"/>
          <w:szCs w:val="27"/>
          <w:lang w:val="en-US" w:eastAsia="es-ES"/>
          <w14:ligatures w14:val="none"/>
        </w:rPr>
        <w:t>and mitigate spillovers.</w:t>
      </w:r>
    </w:p>
    <w:p w14:paraId="728C2175"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4C7"/>
    <w:rsid w:val="00163ACA"/>
    <w:rsid w:val="0046694C"/>
    <w:rsid w:val="005E17A4"/>
    <w:rsid w:val="00B624C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6B7531"/>
  <w15:chartTrackingRefBased/>
  <w15:docId w15:val="{FEA12D80-3B86-4529-A7CB-D5926CBDF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B624C7"/>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624C7"/>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B624C7"/>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B624C7"/>
    <w:rPr>
      <w:color w:val="0000FF"/>
      <w:u w:val="single"/>
    </w:rPr>
  </w:style>
  <w:style w:type="paragraph" w:styleId="NormalWeb">
    <w:name w:val="Normal (Web)"/>
    <w:basedOn w:val="Normal"/>
    <w:uiPriority w:val="99"/>
    <w:semiHidden/>
    <w:unhideWhenUsed/>
    <w:rsid w:val="00B624C7"/>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665915">
      <w:bodyDiv w:val="1"/>
      <w:marLeft w:val="0"/>
      <w:marRight w:val="0"/>
      <w:marTop w:val="0"/>
      <w:marBottom w:val="0"/>
      <w:divBdr>
        <w:top w:val="none" w:sz="0" w:space="0" w:color="auto"/>
        <w:left w:val="none" w:sz="0" w:space="0" w:color="auto"/>
        <w:bottom w:val="none" w:sz="0" w:space="0" w:color="auto"/>
        <w:right w:val="none" w:sz="0" w:space="0" w:color="auto"/>
      </w:divBdr>
      <w:divsChild>
        <w:div w:id="1583560124">
          <w:marLeft w:val="-225"/>
          <w:marRight w:val="-225"/>
          <w:marTop w:val="0"/>
          <w:marBottom w:val="0"/>
          <w:divBdr>
            <w:top w:val="none" w:sz="0" w:space="0" w:color="auto"/>
            <w:left w:val="none" w:sz="0" w:space="0" w:color="auto"/>
            <w:bottom w:val="none" w:sz="0" w:space="0" w:color="auto"/>
            <w:right w:val="none" w:sz="0" w:space="0" w:color="auto"/>
          </w:divBdr>
          <w:divsChild>
            <w:div w:id="1573924464">
              <w:marLeft w:val="0"/>
              <w:marRight w:val="0"/>
              <w:marTop w:val="0"/>
              <w:marBottom w:val="0"/>
              <w:divBdr>
                <w:top w:val="none" w:sz="0" w:space="0" w:color="auto"/>
                <w:left w:val="none" w:sz="0" w:space="0" w:color="auto"/>
                <w:bottom w:val="none" w:sz="0" w:space="0" w:color="auto"/>
                <w:right w:val="none" w:sz="0" w:space="0" w:color="auto"/>
              </w:divBdr>
              <w:divsChild>
                <w:div w:id="895580961">
                  <w:marLeft w:val="0"/>
                  <w:marRight w:val="0"/>
                  <w:marTop w:val="750"/>
                  <w:marBottom w:val="750"/>
                  <w:divBdr>
                    <w:top w:val="none" w:sz="0" w:space="0" w:color="auto"/>
                    <w:left w:val="none" w:sz="0" w:space="0" w:color="auto"/>
                    <w:bottom w:val="none" w:sz="0" w:space="0" w:color="auto"/>
                    <w:right w:val="none" w:sz="0" w:space="0" w:color="auto"/>
                  </w:divBdr>
                </w:div>
              </w:divsChild>
            </w:div>
            <w:div w:id="203718267">
              <w:marLeft w:val="0"/>
              <w:marRight w:val="0"/>
              <w:marTop w:val="0"/>
              <w:marBottom w:val="0"/>
              <w:divBdr>
                <w:top w:val="none" w:sz="0" w:space="0" w:color="auto"/>
                <w:left w:val="none" w:sz="0" w:space="0" w:color="auto"/>
                <w:bottom w:val="none" w:sz="0" w:space="0" w:color="auto"/>
                <w:right w:val="none" w:sz="0" w:space="0" w:color="auto"/>
              </w:divBdr>
            </w:div>
          </w:divsChild>
        </w:div>
        <w:div w:id="1364214097">
          <w:marLeft w:val="-225"/>
          <w:marRight w:val="-225"/>
          <w:marTop w:val="0"/>
          <w:marBottom w:val="0"/>
          <w:divBdr>
            <w:top w:val="none" w:sz="0" w:space="0" w:color="auto"/>
            <w:left w:val="none" w:sz="0" w:space="0" w:color="auto"/>
            <w:bottom w:val="none" w:sz="0" w:space="0" w:color="auto"/>
            <w:right w:val="none" w:sz="0" w:space="0" w:color="auto"/>
          </w:divBdr>
          <w:divsChild>
            <w:div w:id="151995956">
              <w:marLeft w:val="225"/>
              <w:marRight w:val="225"/>
              <w:marTop w:val="0"/>
              <w:marBottom w:val="0"/>
              <w:divBdr>
                <w:top w:val="single" w:sz="6" w:space="0" w:color="B1B4B6"/>
                <w:left w:val="none" w:sz="0" w:space="0" w:color="auto"/>
                <w:bottom w:val="none" w:sz="0" w:space="0" w:color="auto"/>
                <w:right w:val="none" w:sz="0" w:space="0" w:color="auto"/>
              </w:divBdr>
              <w:divsChild>
                <w:div w:id="482312191">
                  <w:marLeft w:val="0"/>
                  <w:marRight w:val="0"/>
                  <w:marTop w:val="0"/>
                  <w:marBottom w:val="0"/>
                  <w:divBdr>
                    <w:top w:val="none" w:sz="0" w:space="0" w:color="auto"/>
                    <w:left w:val="none" w:sz="0" w:space="0" w:color="auto"/>
                    <w:bottom w:val="none" w:sz="0" w:space="0" w:color="auto"/>
                    <w:right w:val="none" w:sz="0" w:space="0" w:color="auto"/>
                  </w:divBdr>
                  <w:divsChild>
                    <w:div w:id="7401492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339229371">
          <w:marLeft w:val="-225"/>
          <w:marRight w:val="-225"/>
          <w:marTop w:val="0"/>
          <w:marBottom w:val="0"/>
          <w:divBdr>
            <w:top w:val="none" w:sz="0" w:space="0" w:color="auto"/>
            <w:left w:val="none" w:sz="0" w:space="0" w:color="auto"/>
            <w:bottom w:val="none" w:sz="0" w:space="0" w:color="auto"/>
            <w:right w:val="none" w:sz="0" w:space="0" w:color="auto"/>
          </w:divBdr>
          <w:divsChild>
            <w:div w:id="1872112488">
              <w:marLeft w:val="0"/>
              <w:marRight w:val="0"/>
              <w:marTop w:val="0"/>
              <w:marBottom w:val="0"/>
              <w:divBdr>
                <w:top w:val="none" w:sz="0" w:space="0" w:color="auto"/>
                <w:left w:val="none" w:sz="0" w:space="0" w:color="auto"/>
                <w:bottom w:val="none" w:sz="0" w:space="0" w:color="auto"/>
                <w:right w:val="none" w:sz="0" w:space="0" w:color="auto"/>
              </w:divBdr>
              <w:divsChild>
                <w:div w:id="1881086794">
                  <w:marLeft w:val="0"/>
                  <w:marRight w:val="0"/>
                  <w:marTop w:val="0"/>
                  <w:marBottom w:val="750"/>
                  <w:divBdr>
                    <w:top w:val="none" w:sz="0" w:space="0" w:color="auto"/>
                    <w:left w:val="none" w:sz="0" w:space="0" w:color="auto"/>
                    <w:bottom w:val="none" w:sz="0" w:space="0" w:color="auto"/>
                    <w:right w:val="none" w:sz="0" w:space="0" w:color="auto"/>
                  </w:divBdr>
                  <w:divsChild>
                    <w:div w:id="1352611576">
                      <w:marLeft w:val="0"/>
                      <w:marRight w:val="0"/>
                      <w:marTop w:val="0"/>
                      <w:marBottom w:val="750"/>
                      <w:divBdr>
                        <w:top w:val="none" w:sz="0" w:space="0" w:color="auto"/>
                        <w:left w:val="none" w:sz="0" w:space="0" w:color="auto"/>
                        <w:bottom w:val="none" w:sz="0" w:space="0" w:color="auto"/>
                        <w:right w:val="none" w:sz="0" w:space="0" w:color="auto"/>
                      </w:divBdr>
                      <w:divsChild>
                        <w:div w:id="550188078">
                          <w:marLeft w:val="0"/>
                          <w:marRight w:val="0"/>
                          <w:marTop w:val="0"/>
                          <w:marBottom w:val="0"/>
                          <w:divBdr>
                            <w:top w:val="none" w:sz="0" w:space="0" w:color="auto"/>
                            <w:left w:val="none" w:sz="0" w:space="0" w:color="auto"/>
                            <w:bottom w:val="none" w:sz="0" w:space="0" w:color="auto"/>
                            <w:right w:val="none" w:sz="0" w:space="0" w:color="auto"/>
                          </w:divBdr>
                          <w:divsChild>
                            <w:div w:id="161455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1464</Words>
  <Characters>8055</Characters>
  <Application>Microsoft Office Word</Application>
  <DocSecurity>0</DocSecurity>
  <Lines>67</Lines>
  <Paragraphs>18</Paragraphs>
  <ScaleCrop>false</ScaleCrop>
  <Company/>
  <LinksUpToDate>false</LinksUpToDate>
  <CharactersWithSpaces>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2023-07-07T14:19:00Z</dcterms:created>
  <dcterms:modified xsi:type="dcterms:W3CDTF">2023-07-07T14:19:00Z</dcterms:modified>
</cp:coreProperties>
</file>